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201" w:rsidRPr="00082201" w:rsidRDefault="00082201" w:rsidP="00082201">
      <w:pPr>
        <w:spacing w:after="0" w:line="240" w:lineRule="auto"/>
        <w:ind w:firstLine="851"/>
        <w:jc w:val="both"/>
        <w:rPr>
          <w:rFonts w:ascii="Times New Roman" w:eastAsia="Times New Roman" w:hAnsi="Times New Roman" w:cs="Times New Roman"/>
          <w:b/>
          <w:sz w:val="28"/>
          <w:szCs w:val="28"/>
          <w:lang w:eastAsia="ru-RU"/>
        </w:rPr>
      </w:pPr>
      <w:r w:rsidRPr="00923FCE">
        <w:rPr>
          <w:rFonts w:ascii="Times New Roman" w:eastAsia="Times New Roman" w:hAnsi="Times New Roman" w:cs="Times New Roman"/>
          <w:b/>
          <w:sz w:val="28"/>
          <w:szCs w:val="28"/>
          <w:lang w:eastAsia="ru-RU"/>
        </w:rPr>
        <w:t xml:space="preserve">Вопрос: </w:t>
      </w:r>
      <w:proofErr w:type="gramStart"/>
      <w:r w:rsidRPr="00082201">
        <w:rPr>
          <w:rFonts w:ascii="Times New Roman" w:eastAsia="Times New Roman" w:hAnsi="Times New Roman" w:cs="Times New Roman"/>
          <w:b/>
          <w:sz w:val="28"/>
          <w:szCs w:val="28"/>
          <w:lang w:eastAsia="ru-RU"/>
        </w:rPr>
        <w:t>В</w:t>
      </w:r>
      <w:proofErr w:type="gramEnd"/>
      <w:r w:rsidRPr="00082201">
        <w:rPr>
          <w:rFonts w:ascii="Times New Roman" w:eastAsia="Times New Roman" w:hAnsi="Times New Roman" w:cs="Times New Roman"/>
          <w:b/>
          <w:sz w:val="28"/>
          <w:szCs w:val="28"/>
          <w:lang w:eastAsia="ru-RU"/>
        </w:rPr>
        <w:t xml:space="preserve"> летний период большинство зарегистрированных в моей квартире (родители) с апреля по ноябрь проживают на даче. Как быть с платой за вывоз ТБО в данном случае? Кроме того, в нашем доме проживает много лиц без регистрации. Каким образом это будет учитываться при расчете платы за ТБО?</w:t>
      </w:r>
    </w:p>
    <w:p w:rsidR="00082201" w:rsidRP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p>
    <w:p w:rsidR="00082201" w:rsidRP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r w:rsidRPr="00082201">
        <w:rPr>
          <w:rFonts w:ascii="Times New Roman" w:eastAsia="Times New Roman" w:hAnsi="Times New Roman" w:cs="Times New Roman"/>
          <w:sz w:val="28"/>
          <w:szCs w:val="28"/>
          <w:lang w:eastAsia="ru-RU"/>
        </w:rPr>
        <w:t>Ответ: В соответствии с частью 1 статьи 153, частью 4 статьи 154, частью 11 статьи 155 Жилищного кодекса Российской Федерации граждане и организации обязаны своевременно и полностью вносить плату за жилое помещение и коммунальные услуги. Самовольный отказ от оплаты коммунальных услуг по обращению с отходами не допускается. Кроме того,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и в случаях, которые утверждаются Правительством Российской Федерации.</w:t>
      </w:r>
    </w:p>
    <w:p w:rsidR="00082201" w:rsidRP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r w:rsidRPr="00082201">
        <w:rPr>
          <w:rFonts w:ascii="Times New Roman" w:eastAsia="Times New Roman" w:hAnsi="Times New Roman" w:cs="Times New Roman"/>
          <w:sz w:val="28"/>
          <w:szCs w:val="28"/>
          <w:lang w:eastAsia="ru-RU"/>
        </w:rPr>
        <w:t>Предоставление коммунальной услуги по обращению с ТКО осуществляется в порядке, определенном разделом XV(1) Правил предоставления коммунальных услуг собственникам и пользователям помещений в МКД и ИЖД,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на основании возмездного договора, который может быть заключен как в письменной форме, так и путем совершения конклюдентных действий (пункт 148(1) Правил). Заключение с гражданами письменного договора обязательным не является.</w:t>
      </w:r>
    </w:p>
    <w:p w:rsidR="00082201" w:rsidRP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r w:rsidRPr="00082201">
        <w:rPr>
          <w:rFonts w:ascii="Times New Roman" w:eastAsia="Times New Roman" w:hAnsi="Times New Roman" w:cs="Times New Roman"/>
          <w:sz w:val="28"/>
          <w:szCs w:val="28"/>
          <w:lang w:eastAsia="ru-RU"/>
        </w:rPr>
        <w:t>При временном, более 5 (пяти)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ТКО в порядке, предусмотренном разделом VIII Правил (пункт 148(44) Правил). К заявлению о перерасчете рекомендуется прилагать документы, подтверждающие отсутствие гражданина по месту жительства, срок отсутствия, а также документы, подтверждающие отсутствие в жилом помещении иных граждан. Следует обратить внимание, что перерасчет производится не более чем за шесть месяцев (пункт 91 Правил). Заявление на перерасчет должно быть подано не позднее 30 дней после окончания периода временного отсутствия. За период временного отсутствия более чем шесть месяцев перерасчет не производится.</w:t>
      </w:r>
    </w:p>
    <w:p w:rsidR="00082201" w:rsidRP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r w:rsidRPr="00082201">
        <w:rPr>
          <w:rFonts w:ascii="Times New Roman" w:eastAsia="Times New Roman" w:hAnsi="Times New Roman" w:cs="Times New Roman"/>
          <w:sz w:val="28"/>
          <w:szCs w:val="28"/>
          <w:lang w:eastAsia="ru-RU"/>
        </w:rPr>
        <w:t xml:space="preserve">Статьей 3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в целях обеспечения необходимых условий для реализации гражданином Российской Федерации его прав и свобод, а также исполнения им обязанностей перед другими гражданами, государством и обществом введен регистрационный учет граждан Российской Федерации по месту пребывания и по месту жительства в пределах Российской Федерации. Граждане Российской Федерации обязаны </w:t>
      </w:r>
      <w:r w:rsidRPr="00082201">
        <w:rPr>
          <w:rFonts w:ascii="Times New Roman" w:eastAsia="Times New Roman" w:hAnsi="Times New Roman" w:cs="Times New Roman"/>
          <w:sz w:val="28"/>
          <w:szCs w:val="28"/>
          <w:lang w:eastAsia="ru-RU"/>
        </w:rPr>
        <w:lastRenderedPageBreak/>
        <w:t>регистрироваться по месту пребывания и по месту жительства в пределах Российской Федерации.</w:t>
      </w:r>
    </w:p>
    <w:p w:rsidR="00082201" w:rsidRP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r w:rsidRPr="00082201">
        <w:rPr>
          <w:rFonts w:ascii="Times New Roman" w:eastAsia="Times New Roman" w:hAnsi="Times New Roman" w:cs="Times New Roman"/>
          <w:sz w:val="28"/>
          <w:szCs w:val="28"/>
          <w:lang w:eastAsia="ru-RU"/>
        </w:rPr>
        <w:t>Постановлением Правительства Российской Федерации от 17 июля 1995 г. N 713 утверждены 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(далее - Правила). Данные Правила предусматривают обязательную регистрацию граждан, прибывших по месту пребывания, не являющемуся местом их жительства, на срок более 90 дней. Гражданин, изменивший место жительства, обязан не позднее 7 дней со дня прибытия на новое место жительства обратиться к лицам, ответственным за прием и передачу в органы регистрационного учета соответствующих документов.</w:t>
      </w:r>
    </w:p>
    <w:p w:rsidR="00082201" w:rsidRP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r w:rsidRPr="00082201">
        <w:rPr>
          <w:rFonts w:ascii="Times New Roman" w:eastAsia="Times New Roman" w:hAnsi="Times New Roman" w:cs="Times New Roman"/>
          <w:sz w:val="28"/>
          <w:szCs w:val="28"/>
          <w:lang w:eastAsia="ru-RU"/>
        </w:rPr>
        <w:t>Статьей 19.15.1 Кодекса Российской Федерации об административных правонарушениях за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предусмотрено наложение административного штрафа.</w:t>
      </w:r>
    </w:p>
    <w:p w:rsidR="00082201" w:rsidRDefault="00082201" w:rsidP="00082201">
      <w:pPr>
        <w:spacing w:after="0" w:line="240" w:lineRule="auto"/>
        <w:ind w:firstLine="851"/>
        <w:jc w:val="both"/>
        <w:rPr>
          <w:rFonts w:ascii="Times New Roman" w:eastAsia="Times New Roman" w:hAnsi="Times New Roman" w:cs="Times New Roman"/>
          <w:sz w:val="28"/>
          <w:szCs w:val="28"/>
          <w:lang w:eastAsia="ru-RU"/>
        </w:rPr>
      </w:pPr>
      <w:r w:rsidRPr="00082201">
        <w:rPr>
          <w:rFonts w:ascii="Times New Roman" w:eastAsia="Times New Roman" w:hAnsi="Times New Roman" w:cs="Times New Roman"/>
          <w:sz w:val="28"/>
          <w:szCs w:val="28"/>
          <w:lang w:eastAsia="ru-RU"/>
        </w:rPr>
        <w:t>Обязанность граждан по оплате коммунальной услуги по сбору и вывозу ТКО предусмотрена статьей 24.7 Федерального закона от 24 июня 1998 г. N 89-ФЗ "Об отходах производства и потребления", частью 1 статьи 153, частью 4 статьи 154 Жилищного кодекса Российской Федерации. Кроме того, частью 5 статьи 30 ЖК РФ установлено, что собственник жилого дома или части жилого дома обязан обеспечивать обращение с ТКО путем заключения договора с региональным оператором по обращению с ТКО. Под обращением с ТКО понимаются транспортирование, обезвреживание, захоронение ТКО. Какого-либо полного или частичного освобождения от оплаты за коммунальную услугу по сбору и вывозу ТКО законодательством не предусмотрено.</w:t>
      </w:r>
    </w:p>
    <w:p w:rsidR="00082201" w:rsidRDefault="00082201" w:rsidP="00082201">
      <w:pPr>
        <w:spacing w:after="0" w:line="240" w:lineRule="auto"/>
        <w:ind w:firstLine="851"/>
        <w:jc w:val="both"/>
        <w:rPr>
          <w:rFonts w:ascii="Times New Roman" w:hAnsi="Times New Roman" w:cs="Times New Roman"/>
          <w:sz w:val="28"/>
          <w:szCs w:val="28"/>
        </w:rPr>
      </w:pPr>
    </w:p>
    <w:p w:rsidR="001A5CA7" w:rsidRDefault="001A5CA7">
      <w:pPr>
        <w:rPr>
          <w:rFonts w:ascii="Times New Roman" w:hAnsi="Times New Roman" w:cs="Times New Roman"/>
          <w:sz w:val="28"/>
          <w:szCs w:val="28"/>
        </w:rPr>
      </w:pPr>
      <w:r w:rsidRPr="001A5CA7">
        <w:rPr>
          <w:rFonts w:ascii="Times New Roman" w:hAnsi="Times New Roman" w:cs="Times New Roman"/>
          <w:sz w:val="28"/>
          <w:szCs w:val="28"/>
        </w:rPr>
        <w:t xml:space="preserve">Помощник прокурора города Курска                        </w:t>
      </w:r>
      <w:r>
        <w:rPr>
          <w:rFonts w:ascii="Times New Roman" w:hAnsi="Times New Roman" w:cs="Times New Roman"/>
          <w:sz w:val="28"/>
          <w:szCs w:val="28"/>
        </w:rPr>
        <w:t xml:space="preserve">                   </w:t>
      </w:r>
      <w:r w:rsidRPr="001A5CA7">
        <w:rPr>
          <w:rFonts w:ascii="Times New Roman" w:hAnsi="Times New Roman" w:cs="Times New Roman"/>
          <w:sz w:val="28"/>
          <w:szCs w:val="28"/>
        </w:rPr>
        <w:t xml:space="preserve">     М.П. Голубчиков</w:t>
      </w:r>
    </w:p>
    <w:p w:rsidR="00082201" w:rsidRDefault="00082201">
      <w:pPr>
        <w:rPr>
          <w:rFonts w:ascii="Times New Roman" w:hAnsi="Times New Roman" w:cs="Times New Roman"/>
          <w:sz w:val="28"/>
          <w:szCs w:val="28"/>
        </w:rPr>
      </w:pPr>
    </w:p>
    <w:p w:rsidR="00082201" w:rsidRDefault="00082201">
      <w:pPr>
        <w:rPr>
          <w:rFonts w:ascii="Times New Roman" w:hAnsi="Times New Roman" w:cs="Times New Roman"/>
          <w:sz w:val="28"/>
          <w:szCs w:val="28"/>
        </w:rPr>
      </w:pPr>
    </w:p>
    <w:p w:rsidR="00082201" w:rsidRDefault="00082201">
      <w:pPr>
        <w:rPr>
          <w:rFonts w:ascii="Times New Roman" w:hAnsi="Times New Roman" w:cs="Times New Roman"/>
          <w:sz w:val="28"/>
          <w:szCs w:val="28"/>
        </w:rPr>
      </w:pPr>
    </w:p>
    <w:p w:rsidR="00082201" w:rsidRDefault="00082201">
      <w:pPr>
        <w:rPr>
          <w:rFonts w:ascii="Times New Roman" w:hAnsi="Times New Roman" w:cs="Times New Roman"/>
          <w:sz w:val="28"/>
          <w:szCs w:val="28"/>
        </w:rPr>
      </w:pPr>
    </w:p>
    <w:p w:rsidR="00082201" w:rsidRDefault="00082201">
      <w:pPr>
        <w:rPr>
          <w:rFonts w:ascii="Times New Roman" w:hAnsi="Times New Roman" w:cs="Times New Roman"/>
          <w:sz w:val="28"/>
          <w:szCs w:val="28"/>
        </w:rPr>
      </w:pPr>
    </w:p>
    <w:p w:rsidR="00082201" w:rsidRDefault="00082201">
      <w:pPr>
        <w:rPr>
          <w:rFonts w:ascii="Times New Roman" w:hAnsi="Times New Roman" w:cs="Times New Roman"/>
          <w:sz w:val="28"/>
          <w:szCs w:val="28"/>
        </w:rPr>
      </w:pPr>
    </w:p>
    <w:p w:rsidR="00082201" w:rsidRDefault="00082201">
      <w:pPr>
        <w:rPr>
          <w:rFonts w:ascii="Times New Roman" w:hAnsi="Times New Roman" w:cs="Times New Roman"/>
          <w:sz w:val="28"/>
          <w:szCs w:val="28"/>
        </w:rPr>
      </w:pPr>
    </w:p>
    <w:p w:rsidR="00082201" w:rsidRDefault="00082201">
      <w:pPr>
        <w:rPr>
          <w:rFonts w:ascii="Times New Roman" w:hAnsi="Times New Roman" w:cs="Times New Roman"/>
          <w:sz w:val="28"/>
          <w:szCs w:val="28"/>
        </w:rPr>
      </w:pPr>
    </w:p>
    <w:p w:rsidR="00923FCE" w:rsidRDefault="00923FCE">
      <w:pPr>
        <w:rPr>
          <w:rFonts w:ascii="Times New Roman" w:hAnsi="Times New Roman" w:cs="Times New Roman"/>
          <w:sz w:val="28"/>
          <w:szCs w:val="28"/>
        </w:rPr>
      </w:pPr>
    </w:p>
    <w:p w:rsidR="00923FCE" w:rsidRDefault="00923FCE">
      <w:pPr>
        <w:rPr>
          <w:rFonts w:ascii="Times New Roman" w:hAnsi="Times New Roman" w:cs="Times New Roman"/>
          <w:sz w:val="28"/>
          <w:szCs w:val="28"/>
        </w:rPr>
      </w:pPr>
    </w:p>
    <w:p w:rsidR="00082201" w:rsidRPr="00923FCE" w:rsidRDefault="00082201" w:rsidP="00923FCE">
      <w:pPr>
        <w:ind w:firstLine="851"/>
        <w:rPr>
          <w:rFonts w:ascii="Times New Roman" w:hAnsi="Times New Roman" w:cs="Times New Roman"/>
          <w:b/>
          <w:sz w:val="28"/>
          <w:szCs w:val="28"/>
        </w:rPr>
      </w:pPr>
      <w:r w:rsidRPr="00923FCE">
        <w:rPr>
          <w:rFonts w:ascii="Times New Roman" w:hAnsi="Times New Roman" w:cs="Times New Roman"/>
          <w:b/>
          <w:sz w:val="28"/>
          <w:szCs w:val="28"/>
        </w:rPr>
        <w:lastRenderedPageBreak/>
        <w:t xml:space="preserve">Вопрос: Как определяется размер платы за </w:t>
      </w:r>
      <w:r w:rsidR="00923FCE" w:rsidRPr="00923FCE">
        <w:rPr>
          <w:rFonts w:ascii="Times New Roman" w:hAnsi="Times New Roman" w:cs="Times New Roman"/>
          <w:b/>
          <w:sz w:val="28"/>
          <w:szCs w:val="28"/>
        </w:rPr>
        <w:t>коммунальные услуги.</w:t>
      </w:r>
    </w:p>
    <w:p w:rsidR="00923FCE" w:rsidRP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r w:rsidRPr="00923FCE">
        <w:rPr>
          <w:rFonts w:ascii="Times New Roman" w:eastAsia="Times New Roman" w:hAnsi="Times New Roman" w:cs="Times New Roman"/>
          <w:sz w:val="28"/>
          <w:szCs w:val="28"/>
          <w:lang w:eastAsia="ru-RU"/>
        </w:rPr>
        <w:t>Ответ: Плата за коммунальные услуги включает плату за холодную и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923FCE" w:rsidRP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r w:rsidRPr="00923FCE">
        <w:rPr>
          <w:rFonts w:ascii="Times New Roman" w:eastAsia="Times New Roman" w:hAnsi="Times New Roman" w:cs="Times New Roman"/>
          <w:sz w:val="28"/>
          <w:szCs w:val="28"/>
          <w:lang w:eastAsia="ru-RU"/>
        </w:rPr>
        <w:t>Плата за коммунальные услуги также включает в себя плату за коммунальные ресурсы, потребляемые при использовании и содержании общего имущества в многоквартирном доме, если управление многоквартирным домом осуществляется непосредственно собственниками помещений в таком доме либо способ управления не вы</w:t>
      </w:r>
      <w:bookmarkStart w:id="0" w:name="_GoBack"/>
      <w:bookmarkEnd w:id="0"/>
      <w:r w:rsidRPr="00923FCE">
        <w:rPr>
          <w:rFonts w:ascii="Times New Roman" w:eastAsia="Times New Roman" w:hAnsi="Times New Roman" w:cs="Times New Roman"/>
          <w:sz w:val="28"/>
          <w:szCs w:val="28"/>
          <w:lang w:eastAsia="ru-RU"/>
        </w:rPr>
        <w:t>бран или не реализован (ч. 4, 5 ст. 154 ЖК РФ).</w:t>
      </w:r>
    </w:p>
    <w:p w:rsidR="00923FCE" w:rsidRP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r w:rsidRPr="00923FCE">
        <w:rPr>
          <w:rFonts w:ascii="Times New Roman" w:eastAsia="Times New Roman" w:hAnsi="Times New Roman" w:cs="Times New Roman"/>
          <w:sz w:val="28"/>
          <w:szCs w:val="28"/>
          <w:lang w:eastAsia="ru-RU"/>
        </w:rPr>
        <w:t>Размер платы за предоставляемые коммунальные услуги определяется исходя из показаний индивидуальных и коллективных (общедомовых) приборов учета за расчетный период, а при их отсутствии - из нормативов потребления коммунальной услуги (ч. 1 ст. 157 ЖК РФ).</w:t>
      </w:r>
    </w:p>
    <w:p w:rsidR="00923FCE" w:rsidRP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923FCE">
        <w:rPr>
          <w:rFonts w:ascii="Times New Roman" w:eastAsia="Times New Roman" w:hAnsi="Times New Roman" w:cs="Times New Roman"/>
          <w:sz w:val="28"/>
          <w:szCs w:val="28"/>
          <w:lang w:eastAsia="ru-RU"/>
        </w:rPr>
        <w:t>орматив потребления газа в целях содержания общего имущества в многоквартирном доме принимается равным нулю. Также принимается равным нулю норматив потребления коммунальной услуги по отоплению в случае, если технической документацией на МКД не предусмотрено наличие в помещении приборов отопления, или в случае, если в соответствии с установленными законодательством требованиями проведено переустройство помещения, предусматривающее установку индивидуальных источников тепловой энергии (п. 8 Правил, утв. Постановлением Правительства РФ от 23.05.2006 N 306; п. п. 2(3-1), 2(4-1) Приложения N 2 к Правилам, утв. Постановлением Правительства РФ от 06.05.2011 N 354).</w:t>
      </w:r>
    </w:p>
    <w:p w:rsidR="00923FCE" w:rsidRP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r w:rsidRPr="00923FCE">
        <w:rPr>
          <w:rFonts w:ascii="Times New Roman" w:eastAsia="Times New Roman" w:hAnsi="Times New Roman" w:cs="Times New Roman"/>
          <w:sz w:val="28"/>
          <w:szCs w:val="28"/>
          <w:lang w:eastAsia="ru-RU"/>
        </w:rPr>
        <w:t xml:space="preserve">Плата за коммунальную услугу рассчитывается с применением повышающих коэффициентов при </w:t>
      </w:r>
      <w:proofErr w:type="spellStart"/>
      <w:r w:rsidRPr="00923FCE">
        <w:rPr>
          <w:rFonts w:ascii="Times New Roman" w:eastAsia="Times New Roman" w:hAnsi="Times New Roman" w:cs="Times New Roman"/>
          <w:sz w:val="28"/>
          <w:szCs w:val="28"/>
          <w:lang w:eastAsia="ru-RU"/>
        </w:rPr>
        <w:t>недопуске</w:t>
      </w:r>
      <w:proofErr w:type="spellEnd"/>
      <w:r w:rsidRPr="00923FCE">
        <w:rPr>
          <w:rFonts w:ascii="Times New Roman" w:eastAsia="Times New Roman" w:hAnsi="Times New Roman" w:cs="Times New Roman"/>
          <w:sz w:val="28"/>
          <w:szCs w:val="28"/>
          <w:lang w:eastAsia="ru-RU"/>
        </w:rPr>
        <w:t xml:space="preserve"> исполнителя два раза и более в помещение для проверки приборов учета, а также при двукратном </w:t>
      </w:r>
      <w:proofErr w:type="spellStart"/>
      <w:r w:rsidRPr="00923FCE">
        <w:rPr>
          <w:rFonts w:ascii="Times New Roman" w:eastAsia="Times New Roman" w:hAnsi="Times New Roman" w:cs="Times New Roman"/>
          <w:sz w:val="28"/>
          <w:szCs w:val="28"/>
          <w:lang w:eastAsia="ru-RU"/>
        </w:rPr>
        <w:t>недопуске</w:t>
      </w:r>
      <w:proofErr w:type="spellEnd"/>
      <w:r w:rsidRPr="00923FCE">
        <w:rPr>
          <w:rFonts w:ascii="Times New Roman" w:eastAsia="Times New Roman" w:hAnsi="Times New Roman" w:cs="Times New Roman"/>
          <w:sz w:val="28"/>
          <w:szCs w:val="28"/>
          <w:lang w:eastAsia="ru-RU"/>
        </w:rPr>
        <w:t xml:space="preserve"> в помещение представителей гарантирующего поставщика (сетевой организации) для установки приборов учета электроэнергии, ввода их в эксплуатацию, проверки состояния или проведения работ по обслуживанию и подключению приборов учета к интеллектуальной системе учета электроэнергии. Аналогичным образом повышается плата за коммунальную услугу, предоставленную на общедомовые нужды, если собственники помещений в МКД не обеспечили установку или введение в эксплуатацию коллективного (общедомового) прибора учета (при наличии такой технической возможности) (п. п. 60(1), 60(3), 80(1) Правил N 354; п. п. 4, 26(1) Приложения N 2 к Правилам N 354).</w:t>
      </w:r>
    </w:p>
    <w:p w:rsidR="00923FCE" w:rsidRP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r w:rsidRPr="00923FCE">
        <w:rPr>
          <w:rFonts w:ascii="Times New Roman" w:eastAsia="Times New Roman" w:hAnsi="Times New Roman" w:cs="Times New Roman"/>
          <w:sz w:val="28"/>
          <w:szCs w:val="28"/>
          <w:lang w:eastAsia="ru-RU"/>
        </w:rPr>
        <w:t xml:space="preserve">Следует учитывать, что нормы, устанавливающие повышающие коэффициенты, не должны применяться к домам, на которые не распространяются обязательные требования по установке приборов учета, </w:t>
      </w:r>
      <w:proofErr w:type="gramStart"/>
      <w:r w:rsidRPr="00923FCE">
        <w:rPr>
          <w:rFonts w:ascii="Times New Roman" w:eastAsia="Times New Roman" w:hAnsi="Times New Roman" w:cs="Times New Roman"/>
          <w:sz w:val="28"/>
          <w:szCs w:val="28"/>
          <w:lang w:eastAsia="ru-RU"/>
        </w:rPr>
        <w:t>к примеру</w:t>
      </w:r>
      <w:proofErr w:type="gramEnd"/>
      <w:r w:rsidRPr="00923FCE">
        <w:rPr>
          <w:rFonts w:ascii="Times New Roman" w:eastAsia="Times New Roman" w:hAnsi="Times New Roman" w:cs="Times New Roman"/>
          <w:sz w:val="28"/>
          <w:szCs w:val="28"/>
          <w:lang w:eastAsia="ru-RU"/>
        </w:rPr>
        <w:t xml:space="preserve"> ветхим, аварийным, подлежащим сносу или капитальному ремонту (п. 2 Критериев, утв. Приказом Минстроя России от 28.08.2020 N 485/</w:t>
      </w:r>
      <w:proofErr w:type="spellStart"/>
      <w:r w:rsidRPr="00923FCE">
        <w:rPr>
          <w:rFonts w:ascii="Times New Roman" w:eastAsia="Times New Roman" w:hAnsi="Times New Roman" w:cs="Times New Roman"/>
          <w:sz w:val="28"/>
          <w:szCs w:val="28"/>
          <w:lang w:eastAsia="ru-RU"/>
        </w:rPr>
        <w:t>пр</w:t>
      </w:r>
      <w:proofErr w:type="spellEnd"/>
      <w:r w:rsidRPr="00923FCE">
        <w:rPr>
          <w:rFonts w:ascii="Times New Roman" w:eastAsia="Times New Roman" w:hAnsi="Times New Roman" w:cs="Times New Roman"/>
          <w:sz w:val="28"/>
          <w:szCs w:val="28"/>
          <w:lang w:eastAsia="ru-RU"/>
        </w:rPr>
        <w:t>; Письмо Минстроя России от 03.11.2016 N 36508-ОД/04).</w:t>
      </w:r>
    </w:p>
    <w:p w:rsid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r w:rsidRPr="00923FCE">
        <w:rPr>
          <w:rFonts w:ascii="Times New Roman" w:eastAsia="Times New Roman" w:hAnsi="Times New Roman" w:cs="Times New Roman"/>
          <w:sz w:val="28"/>
          <w:szCs w:val="28"/>
          <w:lang w:eastAsia="ru-RU"/>
        </w:rPr>
        <w:t>Действующее законодательство предусматривает ряд ситуаций, когда возможен перерасчет коммунальных платежей.</w:t>
      </w:r>
    </w:p>
    <w:p w:rsidR="00923FCE" w:rsidRPr="00923FCE" w:rsidRDefault="00923FCE" w:rsidP="00923FCE">
      <w:pPr>
        <w:spacing w:after="0" w:line="240" w:lineRule="auto"/>
        <w:ind w:firstLine="851"/>
        <w:jc w:val="both"/>
        <w:rPr>
          <w:rFonts w:ascii="Times New Roman" w:eastAsia="Times New Roman" w:hAnsi="Times New Roman" w:cs="Times New Roman"/>
          <w:sz w:val="28"/>
          <w:szCs w:val="28"/>
          <w:lang w:eastAsia="ru-RU"/>
        </w:rPr>
      </w:pPr>
    </w:p>
    <w:p w:rsidR="00923FCE" w:rsidRDefault="00923FCE" w:rsidP="00923FCE">
      <w:pPr>
        <w:rPr>
          <w:rFonts w:ascii="Times New Roman" w:hAnsi="Times New Roman" w:cs="Times New Roman"/>
          <w:sz w:val="28"/>
          <w:szCs w:val="28"/>
        </w:rPr>
      </w:pPr>
      <w:r w:rsidRPr="001A5CA7">
        <w:rPr>
          <w:rFonts w:ascii="Times New Roman" w:hAnsi="Times New Roman" w:cs="Times New Roman"/>
          <w:sz w:val="28"/>
          <w:szCs w:val="28"/>
        </w:rPr>
        <w:t xml:space="preserve">Помощник прокурора города Курска                        </w:t>
      </w:r>
      <w:r>
        <w:rPr>
          <w:rFonts w:ascii="Times New Roman" w:hAnsi="Times New Roman" w:cs="Times New Roman"/>
          <w:sz w:val="28"/>
          <w:szCs w:val="28"/>
        </w:rPr>
        <w:t xml:space="preserve">                   </w:t>
      </w:r>
      <w:r w:rsidRPr="001A5CA7">
        <w:rPr>
          <w:rFonts w:ascii="Times New Roman" w:hAnsi="Times New Roman" w:cs="Times New Roman"/>
          <w:sz w:val="28"/>
          <w:szCs w:val="28"/>
        </w:rPr>
        <w:t xml:space="preserve">     М.П. Голубчиков</w:t>
      </w:r>
    </w:p>
    <w:sectPr w:rsidR="00923FCE" w:rsidSect="00923FCE">
      <w:pgSz w:w="11906" w:h="16838"/>
      <w:pgMar w:top="1134" w:right="567"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15"/>
    <w:rsid w:val="00082201"/>
    <w:rsid w:val="001A5CA7"/>
    <w:rsid w:val="00340C15"/>
    <w:rsid w:val="00542987"/>
    <w:rsid w:val="006D60EA"/>
    <w:rsid w:val="006E0E00"/>
    <w:rsid w:val="007F60E5"/>
    <w:rsid w:val="00821A9F"/>
    <w:rsid w:val="00823B4D"/>
    <w:rsid w:val="00923FCE"/>
    <w:rsid w:val="00D52AA8"/>
    <w:rsid w:val="00E12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A2E14"/>
  <w15:docId w15:val="{F1396CB3-4C3B-41DC-A7D5-2FB16D71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6D60EA"/>
  </w:style>
  <w:style w:type="character" w:customStyle="1" w:styleId="feeds-pagenavigationtooltip">
    <w:name w:val="feeds-page__navigation_tooltip"/>
    <w:basedOn w:val="a0"/>
    <w:rsid w:val="006D60EA"/>
  </w:style>
  <w:style w:type="paragraph" w:styleId="a3">
    <w:name w:val="Normal (Web)"/>
    <w:basedOn w:val="a"/>
    <w:uiPriority w:val="99"/>
    <w:semiHidden/>
    <w:unhideWhenUsed/>
    <w:rsid w:val="006D60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5CA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A5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204416">
      <w:bodyDiv w:val="1"/>
      <w:marLeft w:val="0"/>
      <w:marRight w:val="0"/>
      <w:marTop w:val="0"/>
      <w:marBottom w:val="0"/>
      <w:divBdr>
        <w:top w:val="none" w:sz="0" w:space="0" w:color="auto"/>
        <w:left w:val="none" w:sz="0" w:space="0" w:color="auto"/>
        <w:bottom w:val="none" w:sz="0" w:space="0" w:color="auto"/>
        <w:right w:val="none" w:sz="0" w:space="0" w:color="auto"/>
      </w:divBdr>
    </w:div>
    <w:div w:id="860050319">
      <w:bodyDiv w:val="1"/>
      <w:marLeft w:val="0"/>
      <w:marRight w:val="0"/>
      <w:marTop w:val="0"/>
      <w:marBottom w:val="0"/>
      <w:divBdr>
        <w:top w:val="none" w:sz="0" w:space="0" w:color="auto"/>
        <w:left w:val="none" w:sz="0" w:space="0" w:color="auto"/>
        <w:bottom w:val="none" w:sz="0" w:space="0" w:color="auto"/>
        <w:right w:val="none" w:sz="0" w:space="0" w:color="auto"/>
      </w:divBdr>
    </w:div>
    <w:div w:id="1607618579">
      <w:bodyDiv w:val="1"/>
      <w:marLeft w:val="0"/>
      <w:marRight w:val="0"/>
      <w:marTop w:val="0"/>
      <w:marBottom w:val="0"/>
      <w:divBdr>
        <w:top w:val="none" w:sz="0" w:space="0" w:color="auto"/>
        <w:left w:val="none" w:sz="0" w:space="0" w:color="auto"/>
        <w:bottom w:val="none" w:sz="0" w:space="0" w:color="auto"/>
        <w:right w:val="none" w:sz="0" w:space="0" w:color="auto"/>
      </w:divBdr>
      <w:divsChild>
        <w:div w:id="1433237231">
          <w:marLeft w:val="0"/>
          <w:marRight w:val="0"/>
          <w:marTop w:val="0"/>
          <w:marBottom w:val="960"/>
          <w:divBdr>
            <w:top w:val="none" w:sz="0" w:space="0" w:color="auto"/>
            <w:left w:val="none" w:sz="0" w:space="0" w:color="auto"/>
            <w:bottom w:val="none" w:sz="0" w:space="0" w:color="auto"/>
            <w:right w:val="none" w:sz="0" w:space="0" w:color="auto"/>
          </w:divBdr>
        </w:div>
        <w:div w:id="386034966">
          <w:marLeft w:val="0"/>
          <w:marRight w:val="720"/>
          <w:marTop w:val="0"/>
          <w:marBottom w:val="0"/>
          <w:divBdr>
            <w:top w:val="none" w:sz="0" w:space="0" w:color="auto"/>
            <w:left w:val="none" w:sz="0" w:space="0" w:color="auto"/>
            <w:bottom w:val="none" w:sz="0" w:space="0" w:color="auto"/>
            <w:right w:val="none" w:sz="0" w:space="0" w:color="auto"/>
          </w:divBdr>
          <w:divsChild>
            <w:div w:id="1283850297">
              <w:marLeft w:val="0"/>
              <w:marRight w:val="0"/>
              <w:marTop w:val="0"/>
              <w:marBottom w:val="120"/>
              <w:divBdr>
                <w:top w:val="none" w:sz="0" w:space="0" w:color="auto"/>
                <w:left w:val="none" w:sz="0" w:space="0" w:color="auto"/>
                <w:bottom w:val="none" w:sz="0" w:space="0" w:color="auto"/>
                <w:right w:val="none" w:sz="0" w:space="0" w:color="auto"/>
              </w:divBdr>
            </w:div>
            <w:div w:id="87387324">
              <w:marLeft w:val="0"/>
              <w:marRight w:val="0"/>
              <w:marTop w:val="0"/>
              <w:marBottom w:val="120"/>
              <w:divBdr>
                <w:top w:val="none" w:sz="0" w:space="0" w:color="auto"/>
                <w:left w:val="none" w:sz="0" w:space="0" w:color="auto"/>
                <w:bottom w:val="none" w:sz="0" w:space="0" w:color="auto"/>
                <w:right w:val="none" w:sz="0" w:space="0" w:color="auto"/>
              </w:divBdr>
            </w:div>
          </w:divsChild>
        </w:div>
        <w:div w:id="805586167">
          <w:marLeft w:val="0"/>
          <w:marRight w:val="0"/>
          <w:marTop w:val="0"/>
          <w:marBottom w:val="0"/>
          <w:divBdr>
            <w:top w:val="none" w:sz="0" w:space="0" w:color="auto"/>
            <w:left w:val="none" w:sz="0" w:space="0" w:color="auto"/>
            <w:bottom w:val="none" w:sz="0" w:space="0" w:color="auto"/>
            <w:right w:val="none" w:sz="0" w:space="0" w:color="auto"/>
          </w:divBdr>
          <w:divsChild>
            <w:div w:id="1570270180">
              <w:marLeft w:val="0"/>
              <w:marRight w:val="0"/>
              <w:marTop w:val="0"/>
              <w:marBottom w:val="0"/>
              <w:divBdr>
                <w:top w:val="none" w:sz="0" w:space="0" w:color="auto"/>
                <w:left w:val="none" w:sz="0" w:space="0" w:color="auto"/>
                <w:bottom w:val="none" w:sz="0" w:space="0" w:color="auto"/>
                <w:right w:val="none" w:sz="0" w:space="0" w:color="auto"/>
              </w:divBdr>
              <w:divsChild>
                <w:div w:id="20585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1195</Words>
  <Characters>6813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Голубчиков Михаил Павлович</cp:lastModifiedBy>
  <cp:revision>7</cp:revision>
  <cp:lastPrinted>2021-11-11T07:26:00Z</cp:lastPrinted>
  <dcterms:created xsi:type="dcterms:W3CDTF">2021-10-22T12:21:00Z</dcterms:created>
  <dcterms:modified xsi:type="dcterms:W3CDTF">2021-11-11T07:26:00Z</dcterms:modified>
</cp:coreProperties>
</file>